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38F9522" w14:textId="77777777" w:rsidR="00DA1861" w:rsidRPr="001C5F4F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765908FF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0BB220F" w14:textId="77777777" w:rsidR="00DA1861" w:rsidRPr="0096067B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36168A5E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2D825F47" w14:textId="14347FE5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02DE2521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2B5D247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0071CD"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57CAFC12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(Insert time and date)</w:t>
      </w:r>
    </w:p>
    <w:p w14:paraId="226E9317" w14:textId="61E7F6CA" w:rsidR="000400CA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 xml:space="preserve"> (Insert location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or</w:t>
      </w:r>
    </w:p>
    <w:p w14:paraId="15BC66B9" w14:textId="222C3F7B" w:rsidR="005D2289" w:rsidRDefault="005D228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Zoom)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7078DD21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Emergency Brief (if required)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04A27A6F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5B4D99" w:rsidRPr="005B4D99">
        <w:rPr>
          <w:rFonts w:ascii="Times New Roman" w:hAnsi="Times New Roman"/>
          <w:b/>
          <w:color w:val="000000"/>
          <w:sz w:val="24"/>
          <w:szCs w:val="24"/>
        </w:rPr>
        <w:t>Vales: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1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1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D064062" w14:textId="77777777" w:rsidR="00195DFD" w:rsidRDefault="00195DFD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553A2FF4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7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Task List post</w:t>
        </w:r>
        <w:bookmarkStart w:id="3" w:name="_Hlk142398184"/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(Insert relevant dated file here)</w:t>
        </w:r>
        <w:bookmarkEnd w:id="3"/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.</w:t>
        </w:r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3AD76F3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hyperlink r:id="rId8" w:history="1">
        <w:r w:rsidRPr="006D13C4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Three</w:t>
        </w:r>
      </w:hyperlink>
    </w:p>
    <w:p w14:paraId="34C827D8" w14:textId="5C4C1CC5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790B89DA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9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Finance Report to </w:t>
        </w:r>
        <w:r w:rsidR="005D2289" w:rsidRP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(Insert relevant dated file here)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5CA7EAAF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0" w:history="1">
        <w:r w:rsidRPr="00B32069">
          <w:rPr>
            <w:rStyle w:val="Hyperlink"/>
            <w:sz w:val="24"/>
            <w:szCs w:val="24"/>
            <w:lang w:val="en-US"/>
          </w:rPr>
          <w:t xml:space="preserve">Section estimated expenditure to </w:t>
        </w:r>
        <w:r w:rsidR="005D2289" w:rsidRPr="005D2289">
          <w:rPr>
            <w:rStyle w:val="Hyperlink"/>
            <w:sz w:val="24"/>
            <w:szCs w:val="24"/>
            <w:lang w:val="en-US"/>
          </w:rPr>
          <w:t xml:space="preserve"> (Insert relevant dated file here)</w:t>
        </w:r>
      </w:hyperlink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CFO</w:t>
      </w: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2AAF5D4" w14:textId="77777777" w:rsidR="005D2289" w:rsidRPr="00374E9D" w:rsidRDefault="005D2289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0BB1B4EA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067FE6AA" w14:textId="4C1B4300" w:rsidR="001A38AC" w:rsidRPr="009B11C5" w:rsidRDefault="00000000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1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  <w:r w:rsidR="005D2289">
        <w:rPr>
          <w:rStyle w:val="Hyperlink"/>
          <w:b/>
          <w:bCs/>
          <w:sz w:val="24"/>
          <w:szCs w:val="24"/>
        </w:rPr>
        <w:t xml:space="preserve"> (Including Commemoration Services_</w:t>
      </w:r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73C0C4E5" w14:textId="77777777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</w:p>
    <w:p w14:paraId="7EE37D4D" w14:textId="74F814C1" w:rsidR="000400CA" w:rsidRDefault="00000000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2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6B6E87">
      <w:headerReference w:type="default" r:id="rId13"/>
      <w:footerReference w:type="default" r:id="rId14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95B6" w14:textId="77777777" w:rsidR="006B6E87" w:rsidRDefault="006B6E87">
      <w:pPr>
        <w:spacing w:after="0" w:line="240" w:lineRule="auto"/>
      </w:pPr>
      <w:r>
        <w:separator/>
      </w:r>
    </w:p>
  </w:endnote>
  <w:endnote w:type="continuationSeparator" w:id="0">
    <w:p w14:paraId="569506EC" w14:textId="77777777" w:rsidR="006B6E87" w:rsidRDefault="006B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AA44C1" w:rsidRDefault="005D228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1B2A" w14:textId="77777777" w:rsidR="006B6E87" w:rsidRDefault="006B6E87">
      <w:pPr>
        <w:spacing w:after="0" w:line="240" w:lineRule="auto"/>
      </w:pPr>
      <w:r>
        <w:separator/>
      </w:r>
    </w:p>
  </w:footnote>
  <w:footnote w:type="continuationSeparator" w:id="0">
    <w:p w14:paraId="6B7F6459" w14:textId="77777777" w:rsidR="006B6E87" w:rsidRDefault="006B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B6C" w14:textId="6B1D1D26" w:rsidR="00DA1861" w:rsidRDefault="005D2289" w:rsidP="00DA1861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DF0757B" wp14:editId="6B6E3CB7">
          <wp:extent cx="2143125" cy="2143125"/>
          <wp:effectExtent l="0" t="0" r="9525" b="9525"/>
          <wp:docPr id="4054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02991" name="Picture 405402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861" w:rsidRPr="00DA1861">
      <w:rPr>
        <w:rFonts w:ascii="Times New Roman" w:hAnsi="Times New Roman"/>
        <w:b/>
        <w:bCs/>
        <w:sz w:val="24"/>
        <w:szCs w:val="24"/>
      </w:rPr>
      <w:t xml:space="preserve"> </w:t>
    </w:r>
    <w:r w:rsidR="00DA1861"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A1861">
      <w:rPr>
        <w:rFonts w:ascii="Times New Roman" w:hAnsi="Times New Roman"/>
        <w:b/>
        <w:bCs/>
        <w:sz w:val="24"/>
        <w:szCs w:val="24"/>
      </w:rPr>
      <w:t>ted</w:t>
    </w:r>
    <w:r w:rsidR="00DA1861">
      <w:rPr>
        <w:rFonts w:ascii="Times New Roman" w:hAnsi="Times New Roman"/>
        <w:b/>
        <w:bCs/>
        <w:sz w:val="24"/>
        <w:szCs w:val="24"/>
      </w:rPr>
      <w:tab/>
    </w:r>
    <w:r w:rsidR="00DA1861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6AD0D32B" w14:textId="77777777" w:rsidR="00DA1861" w:rsidRDefault="00DA1861" w:rsidP="00DA1861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6841F6A7" w14:textId="77777777" w:rsidR="00DA1861" w:rsidRDefault="00DA1861" w:rsidP="00DA1861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45A0635F" w14:textId="77777777" w:rsidR="00DA1861" w:rsidRDefault="00DA1861" w:rsidP="00DA1861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34CDF787" w14:textId="35111345" w:rsidR="00AA44C1" w:rsidRDefault="00AA44C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3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6"/>
  </w:num>
  <w:num w:numId="5" w16cid:durableId="1887984591">
    <w:abstractNumId w:val="5"/>
  </w:num>
  <w:num w:numId="6" w16cid:durableId="1735350356">
    <w:abstractNumId w:val="7"/>
  </w:num>
  <w:num w:numId="7" w16cid:durableId="1516994501">
    <w:abstractNumId w:val="0"/>
  </w:num>
  <w:num w:numId="8" w16cid:durableId="15038904">
    <w:abstractNumId w:val="2"/>
  </w:num>
  <w:num w:numId="9" w16cid:durableId="180192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071CD"/>
    <w:rsid w:val="000400CA"/>
    <w:rsid w:val="0004195B"/>
    <w:rsid w:val="0004348A"/>
    <w:rsid w:val="00060621"/>
    <w:rsid w:val="000704A9"/>
    <w:rsid w:val="00075293"/>
    <w:rsid w:val="00084C8E"/>
    <w:rsid w:val="00126768"/>
    <w:rsid w:val="00195DFD"/>
    <w:rsid w:val="001A1532"/>
    <w:rsid w:val="001A38AC"/>
    <w:rsid w:val="001F0B70"/>
    <w:rsid w:val="00214BAB"/>
    <w:rsid w:val="002522EE"/>
    <w:rsid w:val="00291E05"/>
    <w:rsid w:val="002A5B6A"/>
    <w:rsid w:val="002F7281"/>
    <w:rsid w:val="00333107"/>
    <w:rsid w:val="00370760"/>
    <w:rsid w:val="00394912"/>
    <w:rsid w:val="003D206A"/>
    <w:rsid w:val="003F34F5"/>
    <w:rsid w:val="00490697"/>
    <w:rsid w:val="004B138F"/>
    <w:rsid w:val="00505125"/>
    <w:rsid w:val="005B4D99"/>
    <w:rsid w:val="005C7D9A"/>
    <w:rsid w:val="005D2289"/>
    <w:rsid w:val="005E53B3"/>
    <w:rsid w:val="00620E95"/>
    <w:rsid w:val="00633E9D"/>
    <w:rsid w:val="00651A50"/>
    <w:rsid w:val="006B6E87"/>
    <w:rsid w:val="006D13C4"/>
    <w:rsid w:val="006E149F"/>
    <w:rsid w:val="006F0F8A"/>
    <w:rsid w:val="00726C61"/>
    <w:rsid w:val="00750390"/>
    <w:rsid w:val="007B6C58"/>
    <w:rsid w:val="007C7780"/>
    <w:rsid w:val="00832512"/>
    <w:rsid w:val="00917D28"/>
    <w:rsid w:val="00966D30"/>
    <w:rsid w:val="009B11C5"/>
    <w:rsid w:val="009C1FD7"/>
    <w:rsid w:val="009C3F8C"/>
    <w:rsid w:val="00AA44C1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4296A"/>
    <w:rsid w:val="00D84C5C"/>
    <w:rsid w:val="00DA1861"/>
    <w:rsid w:val="00E17403"/>
    <w:rsid w:val="00E20BF7"/>
    <w:rsid w:val="00E46AFB"/>
    <w:rsid w:val="00EF0BFE"/>
    <w:rsid w:val="00F2792A"/>
    <w:rsid w:val="00F43F77"/>
    <w:rsid w:val="00F56B6C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rrespondence%20Regi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alassoc.org.au/sites/default/files/Paper%20Two_Task%20List%20Post%2027%20May%202023%20V1.03_0.docx" TargetMode="External"/><Relationship Id="rId12" Type="http://schemas.openxmlformats.org/officeDocument/2006/relationships/hyperlink" Target="https://navalassoc.org.au/sections/vic-v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valassoc.org.au/sections/vic-v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Correspondence%20Register\Projected%20budget%20July%20to%20December%202023.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rrespondence%20Register\finance%20report_31May2023.e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2024-02-22T05:21:00Z</dcterms:created>
  <dcterms:modified xsi:type="dcterms:W3CDTF">2024-02-22T05:21:00Z</dcterms:modified>
</cp:coreProperties>
</file>